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011B" w14:textId="77777777" w:rsidR="00DC42E1" w:rsidRDefault="002A0EAD">
      <w:pPr>
        <w:spacing w:after="80"/>
      </w:pPr>
      <w:r>
        <w:rPr>
          <w:rFonts w:ascii="Consolas" w:eastAsia="Consolas" w:hAnsi="Consolas" w:cs="Consolas"/>
          <w:b/>
          <w:bCs/>
          <w:color w:val="2C5A78"/>
          <w:spacing w:val="20"/>
          <w:sz w:val="17"/>
          <w:szCs w:val="17"/>
        </w:rPr>
        <w:t>PEDIATRIC OCCUPATIONAL THERAPY</w:t>
      </w:r>
    </w:p>
    <w:p w14:paraId="3624609F" w14:textId="77777777" w:rsidR="00DC42E1" w:rsidRDefault="002A0EAD">
      <w:pPr>
        <w:spacing w:after="220"/>
      </w:pPr>
      <w:r>
        <w:rPr>
          <w:rFonts w:ascii="Georgia" w:eastAsia="Georgia" w:hAnsi="Georgia" w:cs="Georgia"/>
          <w:b/>
          <w:bCs/>
          <w:color w:val="1F3A52"/>
          <w:sz w:val="52"/>
          <w:szCs w:val="52"/>
        </w:rPr>
        <w:t>Sensory Integration &amp; Sensory Processing Disorder</w:t>
      </w:r>
    </w:p>
    <w:p w14:paraId="2C9B783F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Every day, a child's brain sorts a thousand signals at once — sound, touch, movement, light. For most kids, it fades into the background. For some, it doesn't. Here's what sensory integration is, what it looks like when it's off track, and how occupational therapy helps.</w:t>
      </w:r>
    </w:p>
    <w:p w14:paraId="6360E379" w14:textId="77777777" w:rsidR="00DC42E1" w:rsidRDefault="00DC42E1">
      <w:pPr>
        <w:spacing w:after="120"/>
      </w:pPr>
    </w:p>
    <w:p w14:paraId="170389F4" w14:textId="77777777" w:rsidR="00DC42E1" w:rsidRDefault="002A0EAD">
      <w:pPr>
        <w:pBdr>
          <w:bottom w:val="single" w:sz="4" w:space="6" w:color="D6E4EE"/>
        </w:pBdr>
        <w:spacing w:before="320" w:after="140"/>
      </w:pPr>
      <w:r>
        <w:rPr>
          <w:rFonts w:ascii="Georgia" w:eastAsia="Georgia" w:hAnsi="Georgia" w:cs="Georgia"/>
          <w:b/>
          <w:bCs/>
          <w:color w:val="1F3A52"/>
          <w:sz w:val="32"/>
          <w:szCs w:val="32"/>
        </w:rPr>
        <w:t>What Is Sensory Integration?</w:t>
      </w:r>
    </w:p>
    <w:p w14:paraId="7DD005D1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Sensory integration is the brain's job of taking in information from the body and the environment — what we see, hear, touch, taste, and smell, plus two senses most people never learn about: the vestibular sense (movement and balance) and the proprioceptive sense (where the body is in space).</w:t>
      </w:r>
    </w:p>
    <w:p w14:paraId="307C1B43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A well-integrated brain filters, organizes, and responds to all of this at once, without the child having to think about it. That's what lets a kid sit still on a rug during story time, tune out a hallway full of noise, or catch a ball without flinching.</w:t>
      </w:r>
    </w:p>
    <w:p w14:paraId="242EA864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When integration is working well, sensation becomes action — smoothly, automatically, and appropriately. When it isn't, everyday moments that look simple from the outside can take enormous effort from the inside.</w:t>
      </w:r>
    </w:p>
    <w:p w14:paraId="2CFED002" w14:textId="60B6333A" w:rsidR="00DC42E1" w:rsidRDefault="002A0EAD">
      <w:pPr>
        <w:spacing w:after="160"/>
      </w:pPr>
      <w:r>
        <w:rPr>
          <w:rFonts w:ascii="Calibri" w:eastAsia="Calibri" w:hAnsi="Calibri" w:cs="Calibri"/>
          <w:b/>
          <w:bCs/>
          <w:color w:val="1F3A52"/>
          <w:sz w:val="22"/>
          <w:szCs w:val="22"/>
        </w:rPr>
        <w:t xml:space="preserve">The senses involved: </w:t>
      </w:r>
      <w:r>
        <w:rPr>
          <w:rFonts w:ascii="Calibri" w:eastAsia="Calibri" w:hAnsi="Calibri" w:cs="Calibri"/>
          <w:color w:val="51697A"/>
          <w:sz w:val="22"/>
          <w:szCs w:val="22"/>
        </w:rPr>
        <w:t>Tactile, Auditory, Visual, Vestibular, Proprioceptive, and Interoceptive</w:t>
      </w:r>
      <w:r w:rsidR="00864949">
        <w:rPr>
          <w:rFonts w:ascii="Calibri" w:eastAsia="Calibri" w:hAnsi="Calibri" w:cs="Calibri"/>
          <w:color w:val="51697A"/>
          <w:sz w:val="22"/>
          <w:szCs w:val="22"/>
        </w:rPr>
        <w:t xml:space="preserve"> (the sense of internal body signals like hunger, thirst, needing the bathroom, and emotions)</w:t>
      </w:r>
      <w:r>
        <w:rPr>
          <w:rFonts w:ascii="Calibri" w:eastAsia="Calibri" w:hAnsi="Calibri" w:cs="Calibri"/>
          <w:color w:val="51697A"/>
          <w:sz w:val="22"/>
          <w:szCs w:val="22"/>
        </w:rPr>
        <w:t>.</w:t>
      </w:r>
    </w:p>
    <w:p w14:paraId="467EA1BC" w14:textId="77777777" w:rsidR="00DC42E1" w:rsidRDefault="002A0EAD">
      <w:pPr>
        <w:pBdr>
          <w:bottom w:val="single" w:sz="4" w:space="6" w:color="D6E4EE"/>
        </w:pBdr>
        <w:spacing w:before="320" w:after="140"/>
      </w:pPr>
      <w:r>
        <w:rPr>
          <w:rFonts w:ascii="Georgia" w:eastAsia="Georgia" w:hAnsi="Georgia" w:cs="Georgia"/>
          <w:b/>
          <w:bCs/>
          <w:color w:val="1F3A52"/>
          <w:sz w:val="32"/>
          <w:szCs w:val="32"/>
        </w:rPr>
        <w:t>Sensory Processing Disorder (SPD)</w:t>
      </w:r>
    </w:p>
    <w:p w14:paraId="030F8E4E" w14:textId="604A7C8B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 xml:space="preserve">SPD </w:t>
      </w:r>
      <w:r w:rsidR="00864949">
        <w:rPr>
          <w:rFonts w:ascii="Calibri" w:eastAsia="Calibri" w:hAnsi="Calibri" w:cs="Calibri"/>
          <w:color w:val="51697A"/>
          <w:sz w:val="22"/>
          <w:szCs w:val="22"/>
        </w:rPr>
        <w:t xml:space="preserve">is a term used to describe when a child’s nervous system has difficulty noticing, organizing, or </w:t>
      </w:r>
      <w:r>
        <w:rPr>
          <w:rFonts w:ascii="Calibri" w:eastAsia="Calibri" w:hAnsi="Calibri" w:cs="Calibri"/>
          <w:color w:val="51697A"/>
          <w:sz w:val="22"/>
          <w:szCs w:val="22"/>
        </w:rPr>
        <w:t xml:space="preserve">responding to sensory information in a </w:t>
      </w:r>
      <w:r w:rsidR="00864949">
        <w:rPr>
          <w:rFonts w:ascii="Calibri" w:eastAsia="Calibri" w:hAnsi="Calibri" w:cs="Calibri"/>
          <w:color w:val="51697A"/>
          <w:sz w:val="22"/>
          <w:szCs w:val="22"/>
        </w:rPr>
        <w:t>way that supports everyday activities</w:t>
      </w:r>
      <w:r>
        <w:rPr>
          <w:rFonts w:ascii="Calibri" w:eastAsia="Calibri" w:hAnsi="Calibri" w:cs="Calibri"/>
          <w:color w:val="51697A"/>
          <w:sz w:val="22"/>
          <w:szCs w:val="22"/>
        </w:rPr>
        <w:t>. It isn't a matter of behavior or willpower — it's a difference in how the nervous system processes input. It tends to show up in one of three broad patterns, though many kids show a mix.</w:t>
      </w:r>
    </w:p>
    <w:p w14:paraId="06D2F41F" w14:textId="77777777" w:rsidR="00DC42E1" w:rsidRDefault="002A0EAD">
      <w:pPr>
        <w:spacing w:before="200" w:after="80"/>
      </w:pPr>
      <w:r>
        <w:rPr>
          <w:rFonts w:ascii="Georgia" w:eastAsia="Georgia" w:hAnsi="Georgia" w:cs="Georgia"/>
          <w:b/>
          <w:bCs/>
          <w:color w:val="3D7CA6"/>
          <w:sz w:val="24"/>
          <w:szCs w:val="24"/>
        </w:rPr>
        <w:t>Over-Responsive — Sensory Avoiding</w:t>
      </w:r>
    </w:p>
    <w:p w14:paraId="65EBFC10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The nervous system registers input as more intense than it is, so ordinary sensations feel overwhelming.</w:t>
      </w:r>
    </w:p>
    <w:p w14:paraId="2931E87E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3D7CA6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Distressed by tags, seams, or certain fabrics</w:t>
      </w:r>
    </w:p>
    <w:p w14:paraId="7AB0E989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3D7CA6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Covers ears at everyday noise levels</w:t>
      </w:r>
    </w:p>
    <w:p w14:paraId="6FFC1CB6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3D7CA6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Avoids messy play, crowds, or bright light</w:t>
      </w:r>
    </w:p>
    <w:p w14:paraId="35E65A58" w14:textId="77777777" w:rsidR="00DC42E1" w:rsidRDefault="002A0EAD">
      <w:pPr>
        <w:spacing w:before="200" w:after="80"/>
      </w:pPr>
      <w:r>
        <w:rPr>
          <w:rFonts w:ascii="Georgia" w:eastAsia="Georgia" w:hAnsi="Georgia" w:cs="Georgia"/>
          <w:b/>
          <w:bCs/>
          <w:color w:val="2C5A78"/>
          <w:sz w:val="24"/>
          <w:szCs w:val="24"/>
        </w:rPr>
        <w:t>Under-Responsive — Sensory Seeking</w:t>
      </w:r>
    </w:p>
    <w:p w14:paraId="6124AEEB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The nervous system needs more input to register a sensation, so the child seeks it out to feel regulated.</w:t>
      </w:r>
    </w:p>
    <w:p w14:paraId="57575C1D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2C5A7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Constant movement, crashing, or spinning</w:t>
      </w:r>
    </w:p>
    <w:p w14:paraId="4D75B035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2C5A7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High pain tolerance, doesn't notice injuries</w:t>
      </w:r>
    </w:p>
    <w:p w14:paraId="36F5BBC5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2C5A7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Chews, mouths, or touches everything</w:t>
      </w:r>
    </w:p>
    <w:p w14:paraId="0C31383B" w14:textId="77777777" w:rsidR="00DC42E1" w:rsidRDefault="002A0EAD">
      <w:pPr>
        <w:spacing w:before="200" w:after="80"/>
      </w:pPr>
      <w:r>
        <w:rPr>
          <w:rFonts w:ascii="Georgia" w:eastAsia="Georgia" w:hAnsi="Georgia" w:cs="Georgia"/>
          <w:b/>
          <w:bCs/>
          <w:color w:val="5B8DB8"/>
          <w:sz w:val="24"/>
          <w:szCs w:val="24"/>
        </w:rPr>
        <w:t>Motor-Based — Postural &amp; Coordination</w:t>
      </w:r>
    </w:p>
    <w:p w14:paraId="5746E3BC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Sensory signals reach the brain but aren't organized well enough to guide smooth, coordinated movement.</w:t>
      </w:r>
    </w:p>
    <w:p w14:paraId="559B74E5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5B8DB8"/>
          <w:sz w:val="21"/>
          <w:szCs w:val="21"/>
        </w:rPr>
        <w:lastRenderedPageBreak/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Clumsy or awkward gait, frequent trips</w:t>
      </w:r>
    </w:p>
    <w:p w14:paraId="47E0479D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5B8DB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Trouble with stairs, buttons, or scissors</w:t>
      </w:r>
    </w:p>
    <w:p w14:paraId="02282463" w14:textId="77777777" w:rsidR="00DC42E1" w:rsidRDefault="002A0EAD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5B8DB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Poor balance or low muscle tone</w:t>
      </w:r>
    </w:p>
    <w:p w14:paraId="0D597BE5" w14:textId="77777777" w:rsidR="00864949" w:rsidRDefault="00864949" w:rsidP="00864949">
      <w:pPr>
        <w:spacing w:after="100"/>
        <w:rPr>
          <w:rFonts w:ascii="Calibri" w:hAnsi="Calibri" w:cs="Calibri"/>
          <w:color w:val="215E99" w:themeColor="text2" w:themeTint="BF"/>
          <w:sz w:val="22"/>
          <w:szCs w:val="22"/>
        </w:rPr>
      </w:pPr>
    </w:p>
    <w:p w14:paraId="750ABC91" w14:textId="2ED9AEDC" w:rsidR="00864949" w:rsidRPr="00CC4ABB" w:rsidRDefault="00864949" w:rsidP="00864949">
      <w:pPr>
        <w:spacing w:after="100"/>
        <w:rPr>
          <w:rFonts w:asciiTheme="minorHAnsi" w:hAnsiTheme="minorHAnsi" w:cstheme="minorHAnsi"/>
          <w:sz w:val="22"/>
          <w:szCs w:val="22"/>
        </w:rPr>
      </w:pPr>
      <w:r w:rsidRPr="00864949">
        <w:rPr>
          <w:rFonts w:ascii="Calibri" w:hAnsi="Calibri" w:cs="Calibri"/>
          <w:color w:val="215E99" w:themeColor="text2" w:themeTint="BF"/>
          <w:sz w:val="22"/>
          <w:szCs w:val="22"/>
        </w:rPr>
        <w:t xml:space="preserve">Sensory Differences can also affect </w:t>
      </w:r>
      <w:r>
        <w:rPr>
          <w:rFonts w:ascii="Calibri" w:hAnsi="Calibri" w:cs="Calibri"/>
          <w:color w:val="215E99" w:themeColor="text2" w:themeTint="BF"/>
          <w:sz w:val="22"/>
          <w:szCs w:val="22"/>
        </w:rPr>
        <w:t>eating and Meal Time</w:t>
      </w:r>
      <w:r w:rsidRPr="00864949">
        <w:rPr>
          <w:rFonts w:ascii="Calibri" w:hAnsi="Calibri" w:cs="Calibri"/>
          <w:color w:val="215E99" w:themeColor="text2" w:themeTint="BF"/>
          <w:sz w:val="22"/>
          <w:szCs w:val="22"/>
        </w:rPr>
        <w:t>.  Some children may have strong reactions to textures, smells, temperatures, or mixed foods, making mealtimes challenging and limiting the foods they feel comfortable eating</w:t>
      </w:r>
      <w:r w:rsidRPr="00CC4AB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9088EFA" w14:textId="77777777" w:rsidR="00DC42E1" w:rsidRDefault="00DC42E1">
      <w:pPr>
        <w:spacing w:after="100"/>
      </w:pPr>
    </w:p>
    <w:tbl>
      <w:tblPr>
        <w:tblW w:w="9350" w:type="dxa"/>
        <w:tblBorders>
          <w:left w:val="single" w:sz="24" w:space="0" w:color="2C5A7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DC42E1" w14:paraId="230DD9B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EAF4FB"/>
            <w:tcMar>
              <w:top w:w="180" w:type="dxa"/>
              <w:left w:w="260" w:type="dxa"/>
              <w:bottom w:w="180" w:type="dxa"/>
              <w:right w:w="260" w:type="dxa"/>
            </w:tcMar>
          </w:tcPr>
          <w:p w14:paraId="386202B0" w14:textId="77777777" w:rsidR="00DC42E1" w:rsidRDefault="002A0EAD">
            <w:r>
              <w:rPr>
                <w:rFonts w:ascii="Calibri" w:eastAsia="Calibri" w:hAnsi="Calibri" w:cs="Calibri"/>
                <w:i/>
                <w:iCs/>
                <w:color w:val="51697A"/>
                <w:sz w:val="21"/>
                <w:szCs w:val="21"/>
              </w:rPr>
              <w:t>These are patterns, not a diagnosis you can make from a checklist. Every child has sensory preferences — SPD is when those differences consistently get in the way of play, learning, friendships, or daily routines. An occupational therapist trained in sensory integration can help you tell the difference.</w:t>
            </w:r>
          </w:p>
        </w:tc>
      </w:tr>
    </w:tbl>
    <w:p w14:paraId="656597F8" w14:textId="77777777" w:rsidR="00DC42E1" w:rsidRDefault="002A0EAD">
      <w:pPr>
        <w:pBdr>
          <w:bottom w:val="single" w:sz="4" w:space="6" w:color="D6E4EE"/>
        </w:pBdr>
        <w:spacing w:before="320" w:after="140"/>
      </w:pPr>
      <w:r>
        <w:rPr>
          <w:rFonts w:ascii="Georgia" w:eastAsia="Georgia" w:hAnsi="Georgia" w:cs="Georgia"/>
          <w:b/>
          <w:bCs/>
          <w:color w:val="1F3A52"/>
          <w:sz w:val="32"/>
          <w:szCs w:val="32"/>
        </w:rPr>
        <w:t>How Occupational Therapy Helps</w:t>
      </w:r>
    </w:p>
    <w:p w14:paraId="0583ED2C" w14:textId="77777777" w:rsidR="00DC42E1" w:rsidRDefault="002A0EAD">
      <w:pPr>
        <w:spacing w:before="200" w:after="80"/>
      </w:pPr>
      <w:r>
        <w:rPr>
          <w:rFonts w:ascii="Georgia" w:eastAsia="Georgia" w:hAnsi="Georgia" w:cs="Georgia"/>
          <w:b/>
          <w:bCs/>
          <w:color w:val="1F3A52"/>
          <w:sz w:val="24"/>
          <w:szCs w:val="24"/>
        </w:rPr>
        <w:t>1. Observe &amp; Assess</w:t>
      </w:r>
    </w:p>
    <w:p w14:paraId="312E6FED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Standardized evaluations plus real-world observation of how your child moves, plays, and reacts to input.</w:t>
      </w:r>
    </w:p>
    <w:p w14:paraId="5D88A0C0" w14:textId="77777777" w:rsidR="00DC42E1" w:rsidRDefault="002A0EAD">
      <w:pPr>
        <w:spacing w:before="200" w:after="80"/>
      </w:pPr>
      <w:r>
        <w:rPr>
          <w:rFonts w:ascii="Georgia" w:eastAsia="Georgia" w:hAnsi="Georgia" w:cs="Georgia"/>
          <w:b/>
          <w:bCs/>
          <w:color w:val="1F3A52"/>
          <w:sz w:val="24"/>
          <w:szCs w:val="24"/>
        </w:rPr>
        <w:t>2. Build a Sensory Profile</w:t>
      </w:r>
    </w:p>
    <w:p w14:paraId="5D8BD4CB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We map which systems are over- or under-responsive, and how that shows up across home, school, and play.</w:t>
      </w:r>
    </w:p>
    <w:p w14:paraId="586F50ED" w14:textId="77777777" w:rsidR="00DC42E1" w:rsidRDefault="002A0EAD">
      <w:pPr>
        <w:spacing w:before="200" w:after="80"/>
      </w:pPr>
      <w:r>
        <w:rPr>
          <w:rFonts w:ascii="Georgia" w:eastAsia="Georgia" w:hAnsi="Georgia" w:cs="Georgia"/>
          <w:b/>
          <w:bCs/>
          <w:color w:val="1F3A52"/>
          <w:sz w:val="24"/>
          <w:szCs w:val="24"/>
        </w:rPr>
        <w:t>3. Play-Based Therapy</w:t>
      </w:r>
    </w:p>
    <w:p w14:paraId="4180847E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Swings, climbing, textures, and games — carefully graded activity that challenges the nervous system just enough to grow.</w:t>
      </w:r>
    </w:p>
    <w:p w14:paraId="7A679AEE" w14:textId="77777777" w:rsidR="00DC42E1" w:rsidRDefault="002A0EAD">
      <w:pPr>
        <w:spacing w:before="200" w:after="80"/>
      </w:pPr>
      <w:r>
        <w:rPr>
          <w:rFonts w:ascii="Georgia" w:eastAsia="Georgia" w:hAnsi="Georgia" w:cs="Georgia"/>
          <w:b/>
          <w:bCs/>
          <w:color w:val="1F3A52"/>
          <w:sz w:val="24"/>
          <w:szCs w:val="24"/>
        </w:rPr>
        <w:t>4. Carry It Home</w:t>
      </w:r>
    </w:p>
    <w:p w14:paraId="73AF8F66" w14:textId="77777777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Strategies for parents and teachers, so regulation skills built in session hold up in the classroom and at the dinner table.</w:t>
      </w:r>
    </w:p>
    <w:p w14:paraId="311D2E79" w14:textId="3AE51295" w:rsidR="00DC42E1" w:rsidRDefault="002A0EAD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 xml:space="preserve">Pediatric occupational therapists trained in sensory integration don't just manage symptoms — they </w:t>
      </w:r>
      <w:r w:rsidR="00864949">
        <w:rPr>
          <w:rFonts w:ascii="Calibri" w:eastAsia="Calibri" w:hAnsi="Calibri" w:cs="Calibri"/>
          <w:color w:val="51697A"/>
          <w:sz w:val="22"/>
          <w:szCs w:val="22"/>
        </w:rPr>
        <w:t xml:space="preserve">use carefully designed, play-based activities to help children develop more effective responses to sensory information and participate more successfully in everyday activities.  </w:t>
      </w:r>
      <w:r>
        <w:rPr>
          <w:rFonts w:ascii="Calibri" w:eastAsia="Calibri" w:hAnsi="Calibri" w:cs="Calibri"/>
          <w:color w:val="51697A"/>
          <w:sz w:val="22"/>
          <w:szCs w:val="22"/>
        </w:rPr>
        <w:t>Over time, families typically see gains in self-regulation, attention, coordination, and tolerance for everyday sensory experiences — getting dressed, eating new foods, handling a noisy classroom, or simply sitting through a meal.</w:t>
      </w:r>
    </w:p>
    <w:p w14:paraId="478C9985" w14:textId="77777777" w:rsidR="00DC42E1" w:rsidRDefault="00DC42E1">
      <w:pPr>
        <w:spacing w:after="160"/>
      </w:pPr>
    </w:p>
    <w:tbl>
      <w:tblPr>
        <w:tblW w:w="93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DC42E1" w14:paraId="01ACD6A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1F3A52"/>
            <w:tcMar>
              <w:top w:w="320" w:type="dxa"/>
              <w:left w:w="340" w:type="dxa"/>
              <w:bottom w:w="320" w:type="dxa"/>
              <w:right w:w="340" w:type="dxa"/>
            </w:tcMar>
          </w:tcPr>
          <w:p w14:paraId="77EA5AAE" w14:textId="77777777" w:rsidR="00DC42E1" w:rsidRDefault="002A0EAD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28"/>
                <w:szCs w:val="28"/>
              </w:rPr>
              <w:t>Wondering if this sounds like your child?</w:t>
            </w:r>
          </w:p>
          <w:p w14:paraId="74A5BD78" w14:textId="77777777" w:rsidR="00DC42E1" w:rsidRDefault="002A0EAD">
            <w:pPr>
              <w:spacing w:after="200"/>
            </w:pPr>
            <w:r>
              <w:rPr>
                <w:rFonts w:ascii="Calibri" w:eastAsia="Calibri" w:hAnsi="Calibri" w:cs="Calibri"/>
                <w:color w:val="D9E7F2"/>
                <w:sz w:val="21"/>
                <w:szCs w:val="21"/>
              </w:rPr>
              <w:t>A short conversation with one of our therapists can help you understand what you're seeing and what to do next.</w:t>
            </w:r>
          </w:p>
          <w:p w14:paraId="156292F7" w14:textId="77777777" w:rsidR="00DC42E1" w:rsidRDefault="002A0EAD">
            <w:proofErr w:type="gramStart"/>
            <w:r>
              <w:rPr>
                <w:rFonts w:ascii="Calibri" w:eastAsia="Calibri" w:hAnsi="Calibri" w:cs="Calibri"/>
                <w:b/>
                <w:bCs/>
                <w:color w:val="85BEE8"/>
                <w:sz w:val="21"/>
                <w:szCs w:val="21"/>
              </w:rPr>
              <w:t>▸</w:t>
            </w:r>
            <w:r>
              <w:rPr>
                <w:rFonts w:ascii="Calibri" w:eastAsia="Calibri" w:hAnsi="Calibri" w:cs="Calibri"/>
                <w:b/>
                <w:bCs/>
                <w:color w:val="85BEE8"/>
                <w:sz w:val="21"/>
                <w:szCs w:val="21"/>
              </w:rPr>
              <w:t xml:space="preserve">  Fill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85BEE8"/>
                <w:sz w:val="21"/>
                <w:szCs w:val="21"/>
              </w:rPr>
              <w:t xml:space="preserve"> out our initial intake form</w:t>
            </w:r>
          </w:p>
        </w:tc>
      </w:tr>
    </w:tbl>
    <w:p w14:paraId="5EB2FAF0" w14:textId="77777777" w:rsidR="002A0EAD" w:rsidRDefault="002A0EAD"/>
    <w:sectPr w:rsidR="002A0EAD">
      <w:footerReference w:type="default" r:id="rId7"/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B7BCA" w14:textId="77777777" w:rsidR="002A0EAD" w:rsidRDefault="002A0EAD">
      <w:r>
        <w:separator/>
      </w:r>
    </w:p>
  </w:endnote>
  <w:endnote w:type="continuationSeparator" w:id="0">
    <w:p w14:paraId="60332B31" w14:textId="77777777" w:rsidR="002A0EAD" w:rsidRDefault="002A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04BAF" w14:textId="77777777" w:rsidR="00DC42E1" w:rsidRDefault="002A0EAD">
    <w:pPr>
      <w:jc w:val="center"/>
    </w:pPr>
    <w:proofErr w:type="spellStart"/>
    <w:proofErr w:type="gramStart"/>
    <w:r>
      <w:rPr>
        <w:rFonts w:ascii="Calibri" w:eastAsia="Calibri" w:hAnsi="Calibri" w:cs="Calibri"/>
        <w:color w:val="51697A"/>
        <w:sz w:val="16"/>
        <w:szCs w:val="16"/>
      </w:rPr>
      <w:t>Otakids</w:t>
    </w:r>
    <w:proofErr w:type="spellEnd"/>
    <w:r>
      <w:rPr>
        <w:rFonts w:ascii="Calibri" w:eastAsia="Calibri" w:hAnsi="Calibri" w:cs="Calibri"/>
        <w:color w:val="51697A"/>
        <w:sz w:val="16"/>
        <w:szCs w:val="16"/>
      </w:rPr>
      <w:t xml:space="preserve">  •</w:t>
    </w:r>
    <w:proofErr w:type="gramEnd"/>
    <w:r>
      <w:rPr>
        <w:rFonts w:ascii="Calibri" w:eastAsia="Calibri" w:hAnsi="Calibri" w:cs="Calibri"/>
        <w:color w:val="51697A"/>
        <w:sz w:val="16"/>
        <w:szCs w:val="16"/>
      </w:rPr>
      <w:t xml:space="preserve">  Occupational Therapy </w:t>
    </w:r>
    <w:proofErr w:type="gramStart"/>
    <w:r>
      <w:rPr>
        <w:rFonts w:ascii="Calibri" w:eastAsia="Calibri" w:hAnsi="Calibri" w:cs="Calibri"/>
        <w:color w:val="51697A"/>
        <w:sz w:val="16"/>
        <w:szCs w:val="16"/>
      </w:rPr>
      <w:t>Associates  •</w:t>
    </w:r>
    <w:proofErr w:type="gramEnd"/>
    <w:r>
      <w:rPr>
        <w:rFonts w:ascii="Calibri" w:eastAsia="Calibri" w:hAnsi="Calibri" w:cs="Calibri"/>
        <w:color w:val="51697A"/>
        <w:sz w:val="16"/>
        <w:szCs w:val="16"/>
      </w:rPr>
      <w:t xml:space="preserve">  Wakefield &amp; Bedford, 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11CA" w14:textId="77777777" w:rsidR="002A0EAD" w:rsidRDefault="002A0EAD">
      <w:r>
        <w:separator/>
      </w:r>
    </w:p>
  </w:footnote>
  <w:footnote w:type="continuationSeparator" w:id="0">
    <w:p w14:paraId="16B5BA23" w14:textId="77777777" w:rsidR="002A0EAD" w:rsidRDefault="002A0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B7281"/>
    <w:multiLevelType w:val="hybridMultilevel"/>
    <w:tmpl w:val="1ED8933E"/>
    <w:lvl w:ilvl="0" w:tplc="510CBFDC">
      <w:start w:val="1"/>
      <w:numFmt w:val="bullet"/>
      <w:lvlText w:val="●"/>
      <w:lvlJc w:val="left"/>
      <w:pPr>
        <w:ind w:left="720" w:hanging="360"/>
      </w:pPr>
    </w:lvl>
    <w:lvl w:ilvl="1" w:tplc="F8766216">
      <w:start w:val="1"/>
      <w:numFmt w:val="bullet"/>
      <w:lvlText w:val="○"/>
      <w:lvlJc w:val="left"/>
      <w:pPr>
        <w:ind w:left="1440" w:hanging="360"/>
      </w:pPr>
    </w:lvl>
    <w:lvl w:ilvl="2" w:tplc="6B80A4FC">
      <w:start w:val="1"/>
      <w:numFmt w:val="bullet"/>
      <w:lvlText w:val="■"/>
      <w:lvlJc w:val="left"/>
      <w:pPr>
        <w:ind w:left="2160" w:hanging="360"/>
      </w:pPr>
    </w:lvl>
    <w:lvl w:ilvl="3" w:tplc="D32026CA">
      <w:start w:val="1"/>
      <w:numFmt w:val="bullet"/>
      <w:lvlText w:val="●"/>
      <w:lvlJc w:val="left"/>
      <w:pPr>
        <w:ind w:left="2880" w:hanging="360"/>
      </w:pPr>
    </w:lvl>
    <w:lvl w:ilvl="4" w:tplc="8312A872">
      <w:start w:val="1"/>
      <w:numFmt w:val="bullet"/>
      <w:lvlText w:val="○"/>
      <w:lvlJc w:val="left"/>
      <w:pPr>
        <w:ind w:left="3600" w:hanging="360"/>
      </w:pPr>
    </w:lvl>
    <w:lvl w:ilvl="5" w:tplc="BDA4BDA0">
      <w:start w:val="1"/>
      <w:numFmt w:val="bullet"/>
      <w:lvlText w:val="■"/>
      <w:lvlJc w:val="left"/>
      <w:pPr>
        <w:ind w:left="4320" w:hanging="360"/>
      </w:pPr>
    </w:lvl>
    <w:lvl w:ilvl="6" w:tplc="13445DD8">
      <w:start w:val="1"/>
      <w:numFmt w:val="bullet"/>
      <w:lvlText w:val="●"/>
      <w:lvlJc w:val="left"/>
      <w:pPr>
        <w:ind w:left="5040" w:hanging="360"/>
      </w:pPr>
    </w:lvl>
    <w:lvl w:ilvl="7" w:tplc="C3D08308">
      <w:start w:val="1"/>
      <w:numFmt w:val="bullet"/>
      <w:lvlText w:val="●"/>
      <w:lvlJc w:val="left"/>
      <w:pPr>
        <w:ind w:left="5760" w:hanging="360"/>
      </w:pPr>
    </w:lvl>
    <w:lvl w:ilvl="8" w:tplc="5390334C">
      <w:start w:val="1"/>
      <w:numFmt w:val="bullet"/>
      <w:lvlText w:val="●"/>
      <w:lvlJc w:val="left"/>
      <w:pPr>
        <w:ind w:left="6480" w:hanging="360"/>
      </w:pPr>
    </w:lvl>
  </w:abstractNum>
  <w:num w:numId="1" w16cid:durableId="9805043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2E1"/>
    <w:rsid w:val="002A0EAD"/>
    <w:rsid w:val="004965CB"/>
    <w:rsid w:val="00864949"/>
    <w:rsid w:val="00DC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337DB"/>
  <w15:docId w15:val="{6D48FF37-2934-4E80-B6BC-1256CC38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Holly Bota</cp:lastModifiedBy>
  <cp:revision>2</cp:revision>
  <dcterms:created xsi:type="dcterms:W3CDTF">2026-07-22T16:41:00Z</dcterms:created>
  <dcterms:modified xsi:type="dcterms:W3CDTF">2026-08-11T21:53:00Z</dcterms:modified>
</cp:coreProperties>
</file>